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2A" w:rsidRPr="00CD4601" w:rsidRDefault="00574C2A" w:rsidP="00574C2A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  <w:szCs w:val="28"/>
          <w:lang w:val="sr-Latn-ME"/>
        </w:rPr>
      </w:pPr>
      <w:r w:rsidRPr="00CD4601">
        <w:rPr>
          <w:rFonts w:ascii="Trebuchet MS" w:eastAsia="Calibri" w:hAnsi="Trebuchet MS" w:cs="Arial"/>
          <w:b/>
          <w:noProof/>
          <w:sz w:val="28"/>
          <w:szCs w:val="28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576DFBA7" wp14:editId="315C1B1F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2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601">
        <w:rPr>
          <w:rFonts w:ascii="Trebuchet MS" w:eastAsia="Calibri" w:hAnsi="Trebuchet MS" w:cs="Arial"/>
          <w:b/>
          <w:noProof/>
          <w:sz w:val="28"/>
          <w:szCs w:val="28"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35894BDB" wp14:editId="6F2FD0FF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C2A" w:rsidRPr="00CD4601" w:rsidRDefault="00574C2A" w:rsidP="00574C2A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  <w:szCs w:val="28"/>
          <w:lang w:val="sr-Latn-ME"/>
        </w:rPr>
      </w:pPr>
      <w:r w:rsidRPr="00CD4601">
        <w:rPr>
          <w:rFonts w:ascii="Trebuchet MS" w:eastAsia="Calibri" w:hAnsi="Trebuchet MS" w:cs="Arial"/>
          <w:b/>
          <w:sz w:val="28"/>
          <w:szCs w:val="28"/>
          <w:lang w:val="sr-Latn-ME"/>
        </w:rPr>
        <w:t>C R N A   G O R A</w:t>
      </w:r>
    </w:p>
    <w:p w:rsidR="00574C2A" w:rsidRPr="00CD4601" w:rsidRDefault="00574C2A" w:rsidP="00574C2A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  <w:szCs w:val="28"/>
          <w:lang w:val="sr-Latn-ME"/>
        </w:rPr>
      </w:pPr>
      <w:r w:rsidRPr="00CD4601">
        <w:rPr>
          <w:rFonts w:ascii="Trebuchet MS" w:eastAsia="Calibri" w:hAnsi="Trebuchet MS" w:cs="Arial"/>
          <w:b/>
          <w:sz w:val="28"/>
          <w:szCs w:val="28"/>
          <w:lang w:val="sr-Latn-ME"/>
        </w:rPr>
        <w:t>AGENCIJA ZA ZAŠTITU LIČNIH PODATAKA</w:t>
      </w:r>
    </w:p>
    <w:p w:rsidR="00574C2A" w:rsidRPr="00CD4601" w:rsidRDefault="00574C2A" w:rsidP="00574C2A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  <w:szCs w:val="28"/>
          <w:lang w:val="sr-Latn-ME"/>
        </w:rPr>
      </w:pPr>
      <w:r w:rsidRPr="00CD4601">
        <w:rPr>
          <w:rFonts w:ascii="Trebuchet MS" w:eastAsia="Calibri" w:hAnsi="Trebuchet MS" w:cs="Arial"/>
          <w:b/>
          <w:sz w:val="28"/>
          <w:szCs w:val="28"/>
          <w:lang w:val="sr-Latn-ME"/>
        </w:rPr>
        <w:t>I SLOBODAN PRISTUP INFORMACIJAMA</w:t>
      </w:r>
    </w:p>
    <w:p w:rsidR="00574C2A" w:rsidRPr="00CD4601" w:rsidRDefault="00574C2A" w:rsidP="00574C2A">
      <w:pPr>
        <w:spacing w:after="0" w:line="240" w:lineRule="auto"/>
        <w:rPr>
          <w:rFonts w:ascii="Arial" w:eastAsia="Calibri" w:hAnsi="Arial" w:cs="Arial"/>
          <w:sz w:val="28"/>
          <w:szCs w:val="28"/>
          <w:lang w:val="sr-Latn-ME"/>
        </w:rPr>
      </w:pPr>
      <w:r w:rsidRPr="00CD4601">
        <w:rPr>
          <w:rFonts w:ascii="Arial" w:eastAsia="Calibri" w:hAnsi="Arial" w:cs="Arial"/>
          <w:noProof/>
          <w:sz w:val="28"/>
          <w:szCs w:val="28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1A892" wp14:editId="5B5CAC19">
                <wp:simplePos x="0" y="0"/>
                <wp:positionH relativeFrom="column">
                  <wp:posOffset>-12700</wp:posOffset>
                </wp:positionH>
                <wp:positionV relativeFrom="paragraph">
                  <wp:posOffset>104140</wp:posOffset>
                </wp:positionV>
                <wp:extent cx="5663565" cy="4445"/>
                <wp:effectExtent l="6350" t="1206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87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pt;margin-top:8.2pt;width:445.95pt;height: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" strokecolor="red"/>
            </w:pict>
          </mc:Fallback>
        </mc:AlternateContent>
      </w:r>
    </w:p>
    <w:p w:rsidR="00574C2A" w:rsidRPr="00CD4601" w:rsidRDefault="00574C2A" w:rsidP="00574C2A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sr-Latn-ME"/>
        </w:rPr>
      </w:pPr>
      <w:r w:rsidRPr="00CD4601">
        <w:rPr>
          <w:rFonts w:ascii="Tahoma" w:eastAsia="Calibri" w:hAnsi="Tahoma" w:cs="Tahoma"/>
          <w:b/>
          <w:sz w:val="24"/>
          <w:szCs w:val="24"/>
          <w:lang w:val="sr-Latn-ME"/>
        </w:rPr>
        <w:t xml:space="preserve">Br. </w:t>
      </w:r>
    </w:p>
    <w:p w:rsidR="006C14D2" w:rsidRPr="00BF69AE" w:rsidRDefault="00FE264E" w:rsidP="00BF69AE">
      <w:pPr>
        <w:spacing w:after="200" w:line="276" w:lineRule="auto"/>
        <w:rPr>
          <w:rFonts w:ascii="Tahoma" w:eastAsia="Calibri" w:hAnsi="Tahoma" w:cs="Tahoma"/>
          <w:b/>
          <w:sz w:val="24"/>
          <w:szCs w:val="24"/>
          <w:lang w:val="sr-Latn-ME"/>
        </w:rPr>
      </w:pPr>
      <w:r w:rsidRPr="00CD4601">
        <w:rPr>
          <w:rFonts w:ascii="Tahoma" w:eastAsia="Calibri" w:hAnsi="Tahoma" w:cs="Tahoma"/>
          <w:b/>
          <w:sz w:val="24"/>
          <w:szCs w:val="24"/>
          <w:lang w:val="sr-Latn-ME"/>
        </w:rPr>
        <w:t xml:space="preserve">Podgorica, </w:t>
      </w:r>
      <w:r w:rsidR="00EC51FF">
        <w:rPr>
          <w:rFonts w:ascii="Tahoma" w:eastAsia="Calibri" w:hAnsi="Tahoma" w:cs="Tahoma"/>
          <w:b/>
          <w:sz w:val="24"/>
          <w:szCs w:val="24"/>
          <w:lang w:val="sr-Latn-ME"/>
        </w:rPr>
        <w:t>30</w:t>
      </w:r>
      <w:r w:rsidR="00E52923">
        <w:rPr>
          <w:rFonts w:ascii="Tahoma" w:eastAsia="Calibri" w:hAnsi="Tahoma" w:cs="Tahoma"/>
          <w:b/>
          <w:sz w:val="24"/>
          <w:szCs w:val="24"/>
          <w:lang w:val="sr-Latn-ME"/>
        </w:rPr>
        <w:t>.07</w:t>
      </w:r>
      <w:r w:rsidR="00574C2A" w:rsidRPr="00CD4601">
        <w:rPr>
          <w:rFonts w:ascii="Tahoma" w:eastAsia="Calibri" w:hAnsi="Tahoma" w:cs="Tahoma"/>
          <w:b/>
          <w:sz w:val="24"/>
          <w:szCs w:val="24"/>
          <w:lang w:val="sr-Latn-ME"/>
        </w:rPr>
        <w:t xml:space="preserve">.2025. godine </w:t>
      </w:r>
    </w:p>
    <w:p w:rsidR="006C14D2" w:rsidRDefault="006C14D2" w:rsidP="006C14D2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  <w:r w:rsidRPr="006C14D2">
        <w:rPr>
          <w:rFonts w:ascii="Tahoma" w:eastAsia="Calibri" w:hAnsi="Tahoma" w:cs="Tahoma"/>
          <w:b/>
          <w:sz w:val="24"/>
          <w:szCs w:val="24"/>
          <w:lang w:val="sr-Latn-ME"/>
        </w:rPr>
        <w:t>ANALIZA STANJA U OBLASTI SLOBODNOG PRISTUPA INFO</w:t>
      </w:r>
      <w:r>
        <w:rPr>
          <w:rFonts w:ascii="Tahoma" w:eastAsia="Calibri" w:hAnsi="Tahoma" w:cs="Tahoma"/>
          <w:b/>
          <w:sz w:val="24"/>
          <w:szCs w:val="24"/>
          <w:lang w:val="sr-Latn-ME"/>
        </w:rPr>
        <w:t>RMACIJAMA U PRVOJ POLOVINI 2025</w:t>
      </w:r>
    </w:p>
    <w:p w:rsidR="006C14D2" w:rsidRPr="006C14D2" w:rsidRDefault="006C14D2" w:rsidP="006C14D2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  <w:bookmarkStart w:id="0" w:name="_GoBack"/>
      <w:bookmarkEnd w:id="0"/>
    </w:p>
    <w:p w:rsidR="00EF6A16" w:rsidRPr="00E83B0F" w:rsidRDefault="00E83B0F" w:rsidP="00CD4601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>
        <w:rPr>
          <w:rFonts w:ascii="Tahoma" w:eastAsia="Calibri" w:hAnsi="Tahoma" w:cs="Tahoma"/>
          <w:sz w:val="24"/>
          <w:szCs w:val="24"/>
          <w:lang w:val="sr-Latn-ME"/>
        </w:rPr>
        <w:t xml:space="preserve">         </w:t>
      </w:r>
      <w:r w:rsidRPr="00E83B0F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="00767123" w:rsidRPr="00E83B0F">
        <w:rPr>
          <w:rFonts w:ascii="Tahoma" w:eastAsia="Calibri" w:hAnsi="Tahoma" w:cs="Tahoma"/>
          <w:sz w:val="24"/>
          <w:szCs w:val="24"/>
          <w:lang w:val="sr-Latn-ME"/>
        </w:rPr>
        <w:t>U dužem vremenskom periodu Agencija za zaštitu ličnih podataka i slobodan pristup informacijama</w:t>
      </w:r>
      <w:r w:rsidR="00DE2616" w:rsidRPr="00E83B0F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="0061415C">
        <w:rPr>
          <w:rFonts w:ascii="Tahoma" w:eastAsia="Calibri" w:hAnsi="Tahoma" w:cs="Tahoma"/>
          <w:sz w:val="24"/>
          <w:szCs w:val="24"/>
          <w:lang w:val="sr-Latn-ME"/>
        </w:rPr>
        <w:t>informiše javnost</w:t>
      </w:r>
      <w:r w:rsidR="00C55760" w:rsidRPr="00E83B0F">
        <w:rPr>
          <w:rFonts w:ascii="Tahoma" w:eastAsia="Calibri" w:hAnsi="Tahoma" w:cs="Tahoma"/>
          <w:sz w:val="24"/>
          <w:szCs w:val="24"/>
          <w:lang w:val="sr-Latn-ME"/>
        </w:rPr>
        <w:t xml:space="preserve"> o posljedicama</w:t>
      </w:r>
      <w:r w:rsidR="00EF6A16" w:rsidRPr="00E83B0F">
        <w:rPr>
          <w:rFonts w:ascii="Tahoma" w:eastAsia="Calibri" w:hAnsi="Tahoma" w:cs="Tahoma"/>
          <w:sz w:val="24"/>
          <w:szCs w:val="24"/>
          <w:lang w:val="sr-Latn-ME"/>
        </w:rPr>
        <w:t xml:space="preserve"> zloupotrebe prava na slobodan</w:t>
      </w:r>
      <w:r w:rsidR="002F3F92" w:rsidRPr="00E83B0F">
        <w:rPr>
          <w:rFonts w:ascii="Tahoma" w:eastAsia="Calibri" w:hAnsi="Tahoma" w:cs="Tahoma"/>
          <w:sz w:val="24"/>
          <w:szCs w:val="24"/>
          <w:lang w:val="sr-Latn-ME"/>
        </w:rPr>
        <w:t xml:space="preserve"> pristup informacijama</w:t>
      </w:r>
      <w:r w:rsidRPr="00E83B0F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="00E910FF">
        <w:rPr>
          <w:rFonts w:ascii="Tahoma" w:eastAsia="Calibri" w:hAnsi="Tahoma" w:cs="Tahoma"/>
          <w:sz w:val="24"/>
          <w:szCs w:val="24"/>
          <w:lang w:val="sr-Latn-ME"/>
        </w:rPr>
        <w:t xml:space="preserve">a što je </w:t>
      </w:r>
      <w:r w:rsidR="0061415C">
        <w:rPr>
          <w:rFonts w:ascii="Tahoma" w:eastAsia="Calibri" w:hAnsi="Tahoma" w:cs="Tahoma"/>
          <w:sz w:val="24"/>
          <w:szCs w:val="24"/>
          <w:lang w:val="sr-Latn-ME"/>
        </w:rPr>
        <w:t xml:space="preserve">suprotno </w:t>
      </w:r>
      <w:r w:rsidRPr="00E83B0F">
        <w:rPr>
          <w:rFonts w:ascii="Tahoma" w:eastAsia="Calibri" w:hAnsi="Tahoma" w:cs="Tahoma"/>
          <w:sz w:val="24"/>
          <w:szCs w:val="24"/>
          <w:lang w:val="sr-Latn-ME"/>
        </w:rPr>
        <w:t>duhu ovog Zakona</w:t>
      </w:r>
      <w:r w:rsidR="002F3F92" w:rsidRPr="00E83B0F">
        <w:rPr>
          <w:rFonts w:ascii="Tahoma" w:eastAsia="Calibri" w:hAnsi="Tahoma" w:cs="Tahoma"/>
          <w:sz w:val="24"/>
          <w:szCs w:val="24"/>
          <w:lang w:val="sr-Latn-ME"/>
        </w:rPr>
        <w:t xml:space="preserve"> i ćutanju</w:t>
      </w:r>
      <w:r w:rsidR="00EF6A16" w:rsidRPr="00E83B0F">
        <w:rPr>
          <w:rFonts w:ascii="Tahoma" w:eastAsia="Calibri" w:hAnsi="Tahoma" w:cs="Tahoma"/>
          <w:sz w:val="24"/>
          <w:szCs w:val="24"/>
          <w:lang w:val="sr-Latn-ME"/>
        </w:rPr>
        <w:t xml:space="preserve"> prvostepenih organa vl</w:t>
      </w:r>
      <w:r w:rsidR="002F3F92" w:rsidRPr="00E83B0F">
        <w:rPr>
          <w:rFonts w:ascii="Tahoma" w:eastAsia="Calibri" w:hAnsi="Tahoma" w:cs="Tahoma"/>
          <w:sz w:val="24"/>
          <w:szCs w:val="24"/>
          <w:lang w:val="sr-Latn-ME"/>
        </w:rPr>
        <w:t>a</w:t>
      </w:r>
      <w:r w:rsidR="00EF6A16" w:rsidRPr="00E83B0F">
        <w:rPr>
          <w:rFonts w:ascii="Tahoma" w:eastAsia="Calibri" w:hAnsi="Tahoma" w:cs="Tahoma"/>
          <w:sz w:val="24"/>
          <w:szCs w:val="24"/>
          <w:lang w:val="sr-Latn-ME"/>
        </w:rPr>
        <w:t>sti</w:t>
      </w:r>
      <w:r w:rsidR="008647AC">
        <w:rPr>
          <w:rFonts w:ascii="Tahoma" w:eastAsia="Calibri" w:hAnsi="Tahoma" w:cs="Tahoma"/>
          <w:sz w:val="24"/>
          <w:szCs w:val="24"/>
          <w:lang w:val="sr-Latn-ME"/>
        </w:rPr>
        <w:t>,</w:t>
      </w:r>
      <w:r w:rsidR="00EF6A16" w:rsidRPr="00E83B0F">
        <w:rPr>
          <w:rFonts w:ascii="Tahoma" w:eastAsia="Calibri" w:hAnsi="Tahoma" w:cs="Tahoma"/>
          <w:sz w:val="24"/>
          <w:szCs w:val="24"/>
          <w:lang w:val="sr-Latn-ME"/>
        </w:rPr>
        <w:t xml:space="preserve"> imajući u vidu </w:t>
      </w:r>
      <w:r w:rsidRPr="00E83B0F">
        <w:rPr>
          <w:rFonts w:ascii="Tahoma" w:eastAsia="Calibri" w:hAnsi="Tahoma" w:cs="Tahoma"/>
          <w:sz w:val="24"/>
          <w:szCs w:val="24"/>
          <w:lang w:val="sr-Latn-ME"/>
        </w:rPr>
        <w:t xml:space="preserve">rastući </w:t>
      </w:r>
      <w:r w:rsidR="00EF6A16" w:rsidRPr="00E83B0F">
        <w:rPr>
          <w:rFonts w:ascii="Tahoma" w:eastAsia="Calibri" w:hAnsi="Tahoma" w:cs="Tahoma"/>
          <w:sz w:val="24"/>
          <w:szCs w:val="24"/>
          <w:lang w:val="sr-Latn-ME"/>
        </w:rPr>
        <w:t>negativan trend</w:t>
      </w:r>
      <w:r w:rsidR="0076623D">
        <w:rPr>
          <w:rFonts w:ascii="Tahoma" w:eastAsia="Calibri" w:hAnsi="Tahoma" w:cs="Tahoma"/>
          <w:sz w:val="24"/>
          <w:szCs w:val="24"/>
          <w:lang w:val="sr-Latn-ME"/>
        </w:rPr>
        <w:t xml:space="preserve"> nepostupanja po podnijetim zahtjevima za slobodan pristup informacijama.</w:t>
      </w:r>
    </w:p>
    <w:p w:rsidR="0000457D" w:rsidRPr="00CD4601" w:rsidRDefault="0000457D" w:rsidP="0000457D">
      <w:pPr>
        <w:spacing w:after="0" w:line="240" w:lineRule="auto"/>
        <w:ind w:firstLine="720"/>
        <w:jc w:val="both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574C2A" w:rsidRPr="00CD4601" w:rsidRDefault="00574C2A" w:rsidP="00CD4601">
      <w:pPr>
        <w:ind w:firstLine="720"/>
        <w:jc w:val="both"/>
        <w:rPr>
          <w:rFonts w:ascii="Tahoma" w:hAnsi="Tahoma" w:cs="Tahoma"/>
          <w:sz w:val="24"/>
          <w:lang w:val="sr-Latn-ME"/>
        </w:rPr>
      </w:pPr>
      <w:r w:rsidRPr="00CD4601">
        <w:rPr>
          <w:rFonts w:ascii="Tahoma" w:hAnsi="Tahoma" w:cs="Tahoma"/>
          <w:sz w:val="24"/>
          <w:lang w:val="sr-Latn-ME"/>
        </w:rPr>
        <w:t>Savjet Agencije u postupku odlučivanja po izjavljenim žalbama u prvoj polovini 2025.godine uočava nove prakse aktivnog podnošenja zahtjeva za slobodan pristup inform</w:t>
      </w:r>
      <w:r w:rsidR="00767123" w:rsidRPr="00CD4601">
        <w:rPr>
          <w:rFonts w:ascii="Tahoma" w:hAnsi="Tahoma" w:cs="Tahoma"/>
          <w:sz w:val="24"/>
          <w:lang w:val="sr-Latn-ME"/>
        </w:rPr>
        <w:t xml:space="preserve">acijama od strane novih NVO </w:t>
      </w:r>
      <w:r w:rsidRPr="00CD4601">
        <w:rPr>
          <w:rFonts w:ascii="Tahoma" w:hAnsi="Tahoma" w:cs="Tahoma"/>
          <w:sz w:val="24"/>
          <w:lang w:val="sr-Latn-ME"/>
        </w:rPr>
        <w:t xml:space="preserve">organizacija koje u kratkom vremenskom periodu većem broju obveznika primjene Zakona o slobodnom pristupu informacijama podnose zahtjeve kojima se traži dokumentacija koja iziskuje obradu većeg obima informacija za duži vremenski period. </w:t>
      </w:r>
    </w:p>
    <w:p w:rsidR="00574C2A" w:rsidRPr="00CD4601" w:rsidRDefault="00574C2A" w:rsidP="00CD4601">
      <w:pPr>
        <w:ind w:firstLine="720"/>
        <w:jc w:val="both"/>
        <w:rPr>
          <w:rFonts w:ascii="Tahoma" w:hAnsi="Tahoma" w:cs="Tahoma"/>
          <w:sz w:val="24"/>
          <w:lang w:val="sr-Latn-ME"/>
        </w:rPr>
      </w:pPr>
      <w:r w:rsidRPr="00CD4601">
        <w:rPr>
          <w:rFonts w:ascii="Tahoma" w:hAnsi="Tahoma" w:cs="Tahoma"/>
          <w:sz w:val="24"/>
          <w:lang w:val="sr-Latn-ME"/>
        </w:rPr>
        <w:t xml:space="preserve">Analiza ukupnog broja izjavljenih žalbi potvrđuje i dalje postojanje velikog trenda ćutanja administracije prvostepenih organa koji često u svom postupanju čekaju rješenje Savjeta Agencije kojim se nalaže da u roku od 15 dana od prijema rješenja postupe po podnijetom zahtjevu za slobodan pristup informacijama. </w:t>
      </w:r>
    </w:p>
    <w:tbl>
      <w:tblPr>
        <w:tblStyle w:val="TableGrid"/>
        <w:tblpPr w:leftFromText="180" w:rightFromText="180" w:vertAnchor="text" w:horzAnchor="margin" w:tblpY="49"/>
        <w:tblW w:w="0" w:type="auto"/>
        <w:tblLook w:val="0000" w:firstRow="0" w:lastRow="0" w:firstColumn="0" w:lastColumn="0" w:noHBand="0" w:noVBand="0"/>
      </w:tblPr>
      <w:tblGrid>
        <w:gridCol w:w="895"/>
        <w:gridCol w:w="5116"/>
        <w:gridCol w:w="3006"/>
      </w:tblGrid>
      <w:tr w:rsidR="00CD4601" w:rsidRPr="00CD4601" w:rsidTr="00CD4601">
        <w:trPr>
          <w:trHeight w:val="150"/>
        </w:trPr>
        <w:tc>
          <w:tcPr>
            <w:tcW w:w="9017" w:type="dxa"/>
            <w:gridSpan w:val="3"/>
          </w:tcPr>
          <w:p w:rsidR="00CD4601" w:rsidRPr="00CD4601" w:rsidRDefault="00CD4601" w:rsidP="00CD4601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2025.</w:t>
            </w:r>
          </w:p>
        </w:tc>
      </w:tr>
      <w:tr w:rsidR="00CD4601" w:rsidRPr="00CD4601" w:rsidTr="00CD4601">
        <w:tblPrEx>
          <w:tblLook w:val="04A0" w:firstRow="1" w:lastRow="0" w:firstColumn="1" w:lastColumn="0" w:noHBand="0" w:noVBand="1"/>
        </w:tblPrEx>
        <w:tc>
          <w:tcPr>
            <w:tcW w:w="895" w:type="dxa"/>
          </w:tcPr>
          <w:p w:rsidR="00CD4601" w:rsidRPr="00CD4601" w:rsidRDefault="00CD4601" w:rsidP="00CD4601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1.</w:t>
            </w:r>
          </w:p>
        </w:tc>
        <w:tc>
          <w:tcPr>
            <w:tcW w:w="5116" w:type="dxa"/>
          </w:tcPr>
          <w:p w:rsidR="00CD4601" w:rsidRPr="00CD4601" w:rsidRDefault="00CD4601" w:rsidP="00CD4601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ukupan broj odlučenih predmeta</w:t>
            </w:r>
          </w:p>
        </w:tc>
        <w:tc>
          <w:tcPr>
            <w:tcW w:w="3006" w:type="dxa"/>
          </w:tcPr>
          <w:p w:rsidR="00CD4601" w:rsidRPr="00CD4601" w:rsidRDefault="00CD4601" w:rsidP="00CD4601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2585</w:t>
            </w:r>
          </w:p>
        </w:tc>
      </w:tr>
      <w:tr w:rsidR="00CD4601" w:rsidRPr="00CD4601" w:rsidTr="00CD4601">
        <w:tblPrEx>
          <w:tblLook w:val="04A0" w:firstRow="1" w:lastRow="0" w:firstColumn="1" w:lastColumn="0" w:noHBand="0" w:noVBand="1"/>
        </w:tblPrEx>
        <w:tc>
          <w:tcPr>
            <w:tcW w:w="895" w:type="dxa"/>
          </w:tcPr>
          <w:p w:rsidR="00CD4601" w:rsidRPr="00CD4601" w:rsidRDefault="00CD4601" w:rsidP="00CD4601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2.</w:t>
            </w:r>
          </w:p>
        </w:tc>
        <w:tc>
          <w:tcPr>
            <w:tcW w:w="5116" w:type="dxa"/>
          </w:tcPr>
          <w:p w:rsidR="00CD4601" w:rsidRPr="00CD4601" w:rsidRDefault="00CD4601" w:rsidP="00CD4601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usvojene žalbe zbog ćutanja</w:t>
            </w:r>
          </w:p>
        </w:tc>
        <w:tc>
          <w:tcPr>
            <w:tcW w:w="3006" w:type="dxa"/>
          </w:tcPr>
          <w:p w:rsidR="00CD4601" w:rsidRPr="00CD4601" w:rsidRDefault="00CD4601" w:rsidP="00CD4601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858</w:t>
            </w:r>
          </w:p>
        </w:tc>
      </w:tr>
      <w:tr w:rsidR="00CD4601" w:rsidRPr="00CD4601" w:rsidTr="00CD4601">
        <w:tblPrEx>
          <w:tblLook w:val="04A0" w:firstRow="1" w:lastRow="0" w:firstColumn="1" w:lastColumn="0" w:noHBand="0" w:noVBand="1"/>
        </w:tblPrEx>
        <w:tc>
          <w:tcPr>
            <w:tcW w:w="895" w:type="dxa"/>
          </w:tcPr>
          <w:p w:rsidR="00CD4601" w:rsidRPr="00CD4601" w:rsidRDefault="00CD4601" w:rsidP="00CD4601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3.</w:t>
            </w:r>
          </w:p>
        </w:tc>
        <w:tc>
          <w:tcPr>
            <w:tcW w:w="5116" w:type="dxa"/>
          </w:tcPr>
          <w:p w:rsidR="00CD4601" w:rsidRPr="00CD4601" w:rsidRDefault="00CD4601" w:rsidP="00CD4601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odbijena žalba nema ćutanja</w:t>
            </w:r>
          </w:p>
        </w:tc>
        <w:tc>
          <w:tcPr>
            <w:tcW w:w="3006" w:type="dxa"/>
          </w:tcPr>
          <w:p w:rsidR="00CD4601" w:rsidRPr="00CD4601" w:rsidRDefault="00CD4601" w:rsidP="00CD4601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213</w:t>
            </w:r>
          </w:p>
        </w:tc>
      </w:tr>
      <w:tr w:rsidR="00CD4601" w:rsidRPr="00CD4601" w:rsidTr="00CD4601">
        <w:tblPrEx>
          <w:tblLook w:val="04A0" w:firstRow="1" w:lastRow="0" w:firstColumn="1" w:lastColumn="0" w:noHBand="0" w:noVBand="1"/>
        </w:tblPrEx>
        <w:tc>
          <w:tcPr>
            <w:tcW w:w="895" w:type="dxa"/>
          </w:tcPr>
          <w:p w:rsidR="00CD4601" w:rsidRPr="00CD4601" w:rsidRDefault="00CD4601" w:rsidP="00CD4601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4.</w:t>
            </w:r>
          </w:p>
        </w:tc>
        <w:tc>
          <w:tcPr>
            <w:tcW w:w="5116" w:type="dxa"/>
          </w:tcPr>
          <w:p w:rsidR="00CD4601" w:rsidRPr="00CD4601" w:rsidRDefault="00CD4601" w:rsidP="00CD4601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rješenjem obustavljen postupak</w:t>
            </w:r>
          </w:p>
        </w:tc>
        <w:tc>
          <w:tcPr>
            <w:tcW w:w="3006" w:type="dxa"/>
          </w:tcPr>
          <w:p w:rsidR="00CD4601" w:rsidRPr="00CD4601" w:rsidRDefault="00CD4601" w:rsidP="00CD4601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D4601">
              <w:rPr>
                <w:rFonts w:ascii="Tahoma" w:eastAsia="Calibri" w:hAnsi="Tahoma" w:cs="Tahoma"/>
                <w:b/>
                <w:sz w:val="24"/>
                <w:szCs w:val="24"/>
              </w:rPr>
              <w:t>249</w:t>
            </w:r>
          </w:p>
        </w:tc>
      </w:tr>
    </w:tbl>
    <w:p w:rsidR="00574C2A" w:rsidRDefault="00574C2A" w:rsidP="00574C2A">
      <w:pPr>
        <w:spacing w:after="0" w:line="276" w:lineRule="auto"/>
        <w:jc w:val="both"/>
        <w:rPr>
          <w:rFonts w:ascii="Tahoma" w:eastAsia="Calibri" w:hAnsi="Tahoma" w:cs="Tahoma"/>
          <w:sz w:val="28"/>
          <w:szCs w:val="28"/>
          <w:lang w:val="sr-Latn-ME"/>
        </w:rPr>
      </w:pPr>
    </w:p>
    <w:p w:rsidR="00CD4601" w:rsidRPr="0076623D" w:rsidRDefault="00CD4601" w:rsidP="00574C2A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 w:rsidRPr="0076623D">
        <w:rPr>
          <w:rFonts w:ascii="Tahoma" w:eastAsia="Calibri" w:hAnsi="Tahoma" w:cs="Tahoma"/>
          <w:sz w:val="24"/>
          <w:szCs w:val="24"/>
          <w:lang w:val="sr-Latn-ME"/>
        </w:rPr>
        <w:t>Pregled usvojenih žalbi zbog ćutanja administracije:</w:t>
      </w:r>
    </w:p>
    <w:tbl>
      <w:tblPr>
        <w:tblpPr w:leftFromText="180" w:rightFromText="180" w:vertAnchor="text" w:horzAnchor="margin" w:tblpY="89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1235"/>
        <w:gridCol w:w="1109"/>
        <w:gridCol w:w="1235"/>
        <w:gridCol w:w="982"/>
        <w:gridCol w:w="908"/>
        <w:gridCol w:w="908"/>
      </w:tblGrid>
      <w:tr w:rsidR="00CD4601" w:rsidRPr="00CD4601" w:rsidTr="00CD46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2019.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2020.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2021.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2022.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2023.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2024.</w:t>
            </w:r>
          </w:p>
        </w:tc>
      </w:tr>
      <w:tr w:rsidR="00CD4601" w:rsidRPr="00CD4601" w:rsidTr="00CD46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Broj usvojenih žalbi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543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1002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1702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882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1488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1" w:rsidRPr="00CD4601" w:rsidRDefault="00CD4601" w:rsidP="00CD4601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</w:pPr>
            <w:r w:rsidRPr="00CD4601">
              <w:rPr>
                <w:rFonts w:ascii="Tahoma" w:eastAsia="Arial Unicode MS" w:hAnsi="Tahoma" w:cs="Tahoma"/>
                <w:b/>
                <w:sz w:val="24"/>
                <w:szCs w:val="24"/>
                <w:bdr w:val="none" w:sz="0" w:space="0" w:color="auto" w:frame="1"/>
                <w:lang w:val="sr-Latn-ME"/>
              </w:rPr>
              <w:t>2374</w:t>
            </w:r>
          </w:p>
        </w:tc>
      </w:tr>
    </w:tbl>
    <w:p w:rsidR="0000457D" w:rsidRPr="00CD4601" w:rsidRDefault="0000457D" w:rsidP="00574C2A">
      <w:pPr>
        <w:spacing w:after="0" w:line="276" w:lineRule="auto"/>
        <w:jc w:val="both"/>
        <w:rPr>
          <w:rFonts w:ascii="Tahoma" w:eastAsia="Calibri" w:hAnsi="Tahoma" w:cs="Tahoma"/>
          <w:sz w:val="28"/>
          <w:szCs w:val="28"/>
          <w:lang w:val="sr-Latn-ME"/>
        </w:rPr>
      </w:pPr>
    </w:p>
    <w:p w:rsidR="00CD4601" w:rsidRPr="008A19F7" w:rsidRDefault="00E52923" w:rsidP="008A19F7">
      <w:pPr>
        <w:ind w:firstLine="720"/>
        <w:jc w:val="both"/>
        <w:rPr>
          <w:rFonts w:ascii="Tahoma" w:hAnsi="Tahoma" w:cs="Tahoma"/>
          <w:sz w:val="24"/>
          <w:lang w:val="sr-Latn-ME"/>
        </w:rPr>
      </w:pPr>
      <w:r>
        <w:rPr>
          <w:rFonts w:ascii="Tahoma" w:hAnsi="Tahoma" w:cs="Tahoma"/>
          <w:sz w:val="24"/>
          <w:lang w:val="sr-Latn-ME"/>
        </w:rPr>
        <w:t xml:space="preserve">Ukupan broj od </w:t>
      </w:r>
      <w:r w:rsidR="005C4C13">
        <w:rPr>
          <w:rFonts w:ascii="Tahoma" w:hAnsi="Tahoma" w:cs="Tahoma"/>
          <w:sz w:val="24"/>
          <w:lang w:val="sr-Latn-ME"/>
        </w:rPr>
        <w:t>1320 iz</w:t>
      </w:r>
      <w:r w:rsidR="00B02725">
        <w:rPr>
          <w:rFonts w:ascii="Tahoma" w:hAnsi="Tahoma" w:cs="Tahoma"/>
          <w:sz w:val="24"/>
          <w:lang w:val="sr-Latn-ME"/>
        </w:rPr>
        <w:t>ja</w:t>
      </w:r>
      <w:r w:rsidR="005C4C13">
        <w:rPr>
          <w:rFonts w:ascii="Tahoma" w:hAnsi="Tahoma" w:cs="Tahoma"/>
          <w:sz w:val="24"/>
          <w:lang w:val="sr-Latn-ME"/>
        </w:rPr>
        <w:t>v</w:t>
      </w:r>
      <w:r w:rsidR="00ED78B7" w:rsidRPr="00ED78B7">
        <w:rPr>
          <w:rFonts w:ascii="Tahoma" w:hAnsi="Tahoma" w:cs="Tahoma"/>
          <w:sz w:val="24"/>
          <w:lang w:val="sr-Latn-ME"/>
        </w:rPr>
        <w:t>ljenih i odlučenih žalbi zbog povrede pravila postupka tokom prve polovine 2025.</w:t>
      </w:r>
      <w:r>
        <w:rPr>
          <w:rFonts w:ascii="Tahoma" w:hAnsi="Tahoma" w:cs="Tahoma"/>
          <w:sz w:val="24"/>
          <w:lang w:val="sr-Latn-ME"/>
        </w:rPr>
        <w:t xml:space="preserve"> godine jasan</w:t>
      </w:r>
      <w:r w:rsidR="00ED78B7" w:rsidRPr="00ED78B7">
        <w:rPr>
          <w:rFonts w:ascii="Tahoma" w:hAnsi="Tahoma" w:cs="Tahoma"/>
          <w:sz w:val="24"/>
          <w:lang w:val="sr-Latn-ME"/>
        </w:rPr>
        <w:t xml:space="preserve"> je pokazatelj da Agencija prom</w:t>
      </w:r>
      <w:r>
        <w:rPr>
          <w:rFonts w:ascii="Tahoma" w:hAnsi="Tahoma" w:cs="Tahoma"/>
          <w:sz w:val="24"/>
          <w:lang w:val="sr-Latn-ME"/>
        </w:rPr>
        <w:t>p</w:t>
      </w:r>
      <w:r w:rsidR="00ED78B7" w:rsidRPr="00ED78B7">
        <w:rPr>
          <w:rFonts w:ascii="Tahoma" w:hAnsi="Tahoma" w:cs="Tahoma"/>
          <w:sz w:val="24"/>
          <w:lang w:val="sr-Latn-ME"/>
        </w:rPr>
        <w:t>tno postupa kako bi podnosiocima zahtjeva za slobodan pristup informacijama bilo osigurano pravo na pristup traženim informacijama</w:t>
      </w:r>
      <w:r>
        <w:rPr>
          <w:rFonts w:ascii="Tahoma" w:hAnsi="Tahoma" w:cs="Tahoma"/>
          <w:sz w:val="24"/>
          <w:lang w:val="sr-Latn-ME"/>
        </w:rPr>
        <w:t>, te da sprovođe</w:t>
      </w:r>
      <w:r w:rsidR="00ED78B7" w:rsidRPr="00ED78B7">
        <w:rPr>
          <w:rFonts w:ascii="Tahoma" w:hAnsi="Tahoma" w:cs="Tahoma"/>
          <w:sz w:val="24"/>
          <w:lang w:val="sr-Latn-ME"/>
        </w:rPr>
        <w:t>nje zakonske procedure propisane materijanim i procesnim zakonima ne bude na teret korisnika zahtjeva za slobodan pristup informacijama.</w:t>
      </w:r>
    </w:p>
    <w:p w:rsidR="00767123" w:rsidRPr="00CD4601" w:rsidRDefault="00767123">
      <w:pPr>
        <w:rPr>
          <w:sz w:val="28"/>
          <w:szCs w:val="28"/>
          <w:lang w:val="sr-Latn-ME"/>
        </w:rPr>
      </w:pPr>
    </w:p>
    <w:p w:rsidR="00767123" w:rsidRPr="00CD4601" w:rsidRDefault="00767123" w:rsidP="006F7AC5">
      <w:pPr>
        <w:spacing w:after="0" w:line="240" w:lineRule="auto"/>
        <w:rPr>
          <w:rFonts w:ascii="Trebuchet MS" w:eastAsia="Calibri" w:hAnsi="Trebuchet MS" w:cs="Arial"/>
          <w:b/>
          <w:sz w:val="24"/>
          <w:szCs w:val="24"/>
          <w:lang w:val="sr-Latn-ME"/>
        </w:rPr>
      </w:pPr>
      <w:r w:rsidRPr="00CD4601">
        <w:rPr>
          <w:rFonts w:ascii="Trebuchet MS" w:eastAsia="Calibri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4384" behindDoc="0" locked="0" layoutInCell="1" allowOverlap="1" wp14:anchorId="4340106D" wp14:editId="0BC30D3A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601">
        <w:rPr>
          <w:rFonts w:ascii="Trebuchet MS" w:eastAsia="Calibri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3360" behindDoc="0" locked="0" layoutInCell="1" allowOverlap="1" wp14:anchorId="54DF2590" wp14:editId="0FB0E7B2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6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123" w:rsidRPr="00CD4601" w:rsidRDefault="00767123" w:rsidP="00767123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  <w:lang w:val="sr-Latn-ME"/>
        </w:rPr>
      </w:pPr>
      <w:r w:rsidRPr="00CD4601">
        <w:rPr>
          <w:rFonts w:ascii="Trebuchet MS" w:eastAsia="Calibri" w:hAnsi="Trebuchet MS" w:cs="Arial"/>
          <w:b/>
          <w:sz w:val="24"/>
          <w:szCs w:val="24"/>
          <w:lang w:val="sr-Latn-ME"/>
        </w:rPr>
        <w:t>C R N A   G O R A</w:t>
      </w:r>
    </w:p>
    <w:p w:rsidR="00767123" w:rsidRPr="00CD4601" w:rsidRDefault="00767123" w:rsidP="00767123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  <w:lang w:val="sr-Latn-ME"/>
        </w:rPr>
      </w:pPr>
      <w:r w:rsidRPr="00CD4601">
        <w:rPr>
          <w:rFonts w:ascii="Trebuchet MS" w:eastAsia="Calibri" w:hAnsi="Trebuchet MS" w:cs="Arial"/>
          <w:b/>
          <w:sz w:val="24"/>
          <w:szCs w:val="24"/>
          <w:lang w:val="sr-Latn-ME"/>
        </w:rPr>
        <w:t>AGENCIJA ZA ZAŠTITU LIČNIH PODATAKA</w:t>
      </w:r>
    </w:p>
    <w:p w:rsidR="00767123" w:rsidRPr="00CD4601" w:rsidRDefault="00767123" w:rsidP="00767123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  <w:lang w:val="sr-Latn-ME"/>
        </w:rPr>
      </w:pPr>
      <w:r w:rsidRPr="00CD4601">
        <w:rPr>
          <w:rFonts w:ascii="Trebuchet MS" w:eastAsia="Calibri" w:hAnsi="Trebuchet MS" w:cs="Arial"/>
          <w:b/>
          <w:sz w:val="24"/>
          <w:szCs w:val="24"/>
          <w:lang w:val="sr-Latn-ME"/>
        </w:rPr>
        <w:t>I SLOBODAN PRISTUP INFORMACIJAMA</w:t>
      </w:r>
    </w:p>
    <w:p w:rsidR="00435291" w:rsidRPr="00CD4601" w:rsidRDefault="00767123" w:rsidP="00CD4601">
      <w:pPr>
        <w:spacing w:after="0" w:line="240" w:lineRule="auto"/>
        <w:rPr>
          <w:rFonts w:ascii="Arial" w:eastAsia="Calibri" w:hAnsi="Arial" w:cs="Arial"/>
          <w:sz w:val="24"/>
          <w:szCs w:val="24"/>
          <w:lang w:val="sr-Latn-ME"/>
        </w:rPr>
      </w:pPr>
      <w:r w:rsidRPr="00CD4601">
        <w:rPr>
          <w:rFonts w:ascii="Arial" w:eastAsia="Calibri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B7C35" wp14:editId="2EA8C9D5">
                <wp:simplePos x="0" y="0"/>
                <wp:positionH relativeFrom="column">
                  <wp:posOffset>-12700</wp:posOffset>
                </wp:positionH>
                <wp:positionV relativeFrom="paragraph">
                  <wp:posOffset>104140</wp:posOffset>
                </wp:positionV>
                <wp:extent cx="5663565" cy="4445"/>
                <wp:effectExtent l="6350" t="12065" r="6985" b="120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C6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pt;margin-top:8.2pt;width:445.95pt;height: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" strokecolor="red"/>
            </w:pict>
          </mc:Fallback>
        </mc:AlternateContent>
      </w:r>
    </w:p>
    <w:p w:rsidR="00435291" w:rsidRPr="00CD4601" w:rsidRDefault="00435291" w:rsidP="00CD4601">
      <w:pPr>
        <w:ind w:firstLine="720"/>
        <w:jc w:val="both"/>
        <w:rPr>
          <w:rFonts w:ascii="Tahoma" w:hAnsi="Tahoma" w:cs="Tahoma"/>
          <w:sz w:val="24"/>
          <w:lang w:val="sr-Latn-ME"/>
        </w:rPr>
      </w:pPr>
      <w:r w:rsidRPr="00CD4601">
        <w:rPr>
          <w:rFonts w:ascii="Tahoma" w:hAnsi="Tahoma" w:cs="Tahoma"/>
          <w:sz w:val="24"/>
          <w:lang w:val="sr-Latn-ME"/>
        </w:rPr>
        <w:t>Savjet Agencije je u 692 predmeta usvojio žalbu i predmet vratio na pon</w:t>
      </w:r>
      <w:r w:rsidR="00391C06">
        <w:rPr>
          <w:rFonts w:ascii="Tahoma" w:hAnsi="Tahoma" w:cs="Tahoma"/>
          <w:sz w:val="24"/>
          <w:lang w:val="sr-Latn-ME"/>
        </w:rPr>
        <w:t>ovni postupak i odlučivanje vođ</w:t>
      </w:r>
      <w:r w:rsidRPr="00CD4601">
        <w:rPr>
          <w:rFonts w:ascii="Tahoma" w:hAnsi="Tahoma" w:cs="Tahoma"/>
          <w:sz w:val="24"/>
          <w:lang w:val="sr-Latn-ME"/>
        </w:rPr>
        <w:t>en dostignutim pravnim standardima pri odlučivanju da li ima mjesta primjeni ograničenja pristupa traženim informacijama u svakom konkretnom upravnom postupku te da li su ista neohodna pri demok</w:t>
      </w:r>
      <w:r w:rsidR="00EC0FC9">
        <w:rPr>
          <w:rFonts w:ascii="Tahoma" w:hAnsi="Tahoma" w:cs="Tahoma"/>
          <w:sz w:val="24"/>
          <w:lang w:val="sr-Latn-ME"/>
        </w:rPr>
        <w:t>ra</w:t>
      </w:r>
      <w:r w:rsidRPr="00CD4601">
        <w:rPr>
          <w:rFonts w:ascii="Tahoma" w:hAnsi="Tahoma" w:cs="Tahoma"/>
          <w:sz w:val="24"/>
          <w:lang w:val="sr-Latn-ME"/>
        </w:rPr>
        <w:t>tskoj kontroli rada obveznika primjene Zakona.</w:t>
      </w:r>
    </w:p>
    <w:p w:rsidR="00497548" w:rsidRDefault="00435291" w:rsidP="00CD4601">
      <w:pPr>
        <w:ind w:firstLine="720"/>
        <w:jc w:val="both"/>
        <w:rPr>
          <w:rFonts w:ascii="Tahoma" w:hAnsi="Tahoma" w:cs="Tahoma"/>
          <w:sz w:val="24"/>
          <w:lang w:val="sr-Latn-ME"/>
        </w:rPr>
      </w:pPr>
      <w:r w:rsidRPr="00CD4601">
        <w:rPr>
          <w:rFonts w:ascii="Tahoma" w:hAnsi="Tahoma" w:cs="Tahoma"/>
          <w:sz w:val="24"/>
          <w:lang w:val="sr-Latn-ME"/>
        </w:rPr>
        <w:t>O</w:t>
      </w:r>
      <w:r w:rsidR="0080426D">
        <w:rPr>
          <w:rFonts w:ascii="Tahoma" w:hAnsi="Tahoma" w:cs="Tahoma"/>
          <w:sz w:val="24"/>
          <w:lang w:val="sr-Latn-ME"/>
        </w:rPr>
        <w:t>dbijene su žalbe u 270 predmeta</w:t>
      </w:r>
      <w:r w:rsidR="001D3250">
        <w:rPr>
          <w:rFonts w:ascii="Tahoma" w:hAnsi="Tahoma" w:cs="Tahoma"/>
          <w:sz w:val="24"/>
          <w:lang w:val="sr-Latn-ME"/>
        </w:rPr>
        <w:t xml:space="preserve"> kao naj</w:t>
      </w:r>
      <w:r w:rsidR="00391C06">
        <w:rPr>
          <w:rFonts w:ascii="Tahoma" w:hAnsi="Tahoma" w:cs="Tahoma"/>
          <w:sz w:val="24"/>
          <w:lang w:val="sr-Latn-ME"/>
        </w:rPr>
        <w:t>č</w:t>
      </w:r>
      <w:r w:rsidR="001D3250">
        <w:rPr>
          <w:rFonts w:ascii="Tahoma" w:hAnsi="Tahoma" w:cs="Tahoma"/>
          <w:sz w:val="24"/>
          <w:lang w:val="sr-Latn-ME"/>
        </w:rPr>
        <w:t>ešći razlog</w:t>
      </w:r>
      <w:r w:rsidRPr="00CD4601">
        <w:rPr>
          <w:rFonts w:ascii="Tahoma" w:hAnsi="Tahoma" w:cs="Tahoma"/>
          <w:sz w:val="24"/>
          <w:lang w:val="sr-Latn-ME"/>
        </w:rPr>
        <w:t xml:space="preserve"> je utvrđeno neposjedovanje </w:t>
      </w:r>
      <w:r w:rsidR="00391C06">
        <w:rPr>
          <w:rFonts w:ascii="Tahoma" w:hAnsi="Tahoma" w:cs="Tahoma"/>
          <w:sz w:val="24"/>
          <w:lang w:val="sr-Latn-ME"/>
        </w:rPr>
        <w:t>traženih informacijama kao i ne</w:t>
      </w:r>
      <w:r w:rsidRPr="00CD4601">
        <w:rPr>
          <w:rFonts w:ascii="Tahoma" w:hAnsi="Tahoma" w:cs="Tahoma"/>
          <w:sz w:val="24"/>
          <w:lang w:val="sr-Latn-ME"/>
        </w:rPr>
        <w:t>utvrđivanje kvaliteta dostavljanje informacije koja nije zakonsko ovlašćenje Savjeta Agenc</w:t>
      </w:r>
      <w:r w:rsidR="00CD4601" w:rsidRPr="00CD4601">
        <w:rPr>
          <w:rFonts w:ascii="Tahoma" w:hAnsi="Tahoma" w:cs="Tahoma"/>
          <w:sz w:val="24"/>
          <w:lang w:val="sr-Latn-ME"/>
        </w:rPr>
        <w:t>ije već ocjena zakonitosti akta/</w:t>
      </w:r>
      <w:r w:rsidRPr="00CD4601">
        <w:rPr>
          <w:rFonts w:ascii="Tahoma" w:hAnsi="Tahoma" w:cs="Tahoma"/>
          <w:sz w:val="24"/>
          <w:lang w:val="sr-Latn-ME"/>
        </w:rPr>
        <w:t xml:space="preserve">rješenja kojim se odlučuje po osnovu podnijetog zahtjeva za slobodan pristup informacijama. </w:t>
      </w:r>
    </w:p>
    <w:p w:rsidR="00435291" w:rsidRPr="00CD4601" w:rsidRDefault="00435291" w:rsidP="00CD4601">
      <w:pPr>
        <w:ind w:firstLine="720"/>
        <w:jc w:val="both"/>
        <w:rPr>
          <w:rFonts w:ascii="Tahoma" w:hAnsi="Tahoma" w:cs="Tahoma"/>
          <w:sz w:val="24"/>
          <w:lang w:val="sr-Latn-ME"/>
        </w:rPr>
      </w:pPr>
      <w:r w:rsidRPr="00CD4601">
        <w:rPr>
          <w:rFonts w:ascii="Tahoma" w:hAnsi="Tahoma" w:cs="Tahoma"/>
          <w:sz w:val="24"/>
          <w:lang w:val="sr-Latn-ME"/>
        </w:rPr>
        <w:t>Prvostepeni organi vrlo često pribjegavaju da se kroz prizmu Zakona o slobodnom pristupu infromacijama odlučuje o zahtjevima koji nijesu zahtjevi za slobodan pristup informacijama</w:t>
      </w:r>
      <w:r w:rsidR="00D44A3B">
        <w:rPr>
          <w:rFonts w:ascii="Tahoma" w:hAnsi="Tahoma" w:cs="Tahoma"/>
          <w:sz w:val="24"/>
          <w:lang w:val="sr-Latn-ME"/>
        </w:rPr>
        <w:t>,</w:t>
      </w:r>
      <w:r w:rsidRPr="00CD4601">
        <w:rPr>
          <w:rFonts w:ascii="Tahoma" w:hAnsi="Tahoma" w:cs="Tahoma"/>
          <w:sz w:val="24"/>
          <w:lang w:val="sr-Latn-ME"/>
        </w:rPr>
        <w:t xml:space="preserve"> ne dajući strankama pravo da pribavljaju dokaze u smi</w:t>
      </w:r>
      <w:r w:rsidR="00D44A3B">
        <w:rPr>
          <w:rFonts w:ascii="Tahoma" w:hAnsi="Tahoma" w:cs="Tahoma"/>
          <w:sz w:val="24"/>
          <w:lang w:val="sr-Latn-ME"/>
        </w:rPr>
        <w:t>slu dokumenta radi vođ</w:t>
      </w:r>
      <w:r w:rsidRPr="00CD4601">
        <w:rPr>
          <w:rFonts w:ascii="Tahoma" w:hAnsi="Tahoma" w:cs="Tahoma"/>
          <w:sz w:val="24"/>
          <w:lang w:val="sr-Latn-ME"/>
        </w:rPr>
        <w:t>enja drugih postupaka i realizacije vlastiti</w:t>
      </w:r>
      <w:r w:rsidR="006426FA">
        <w:rPr>
          <w:rFonts w:ascii="Tahoma" w:hAnsi="Tahoma" w:cs="Tahoma"/>
          <w:sz w:val="24"/>
          <w:lang w:val="sr-Latn-ME"/>
        </w:rPr>
        <w:t>h</w:t>
      </w:r>
      <w:r w:rsidRPr="00CD4601">
        <w:rPr>
          <w:rFonts w:ascii="Tahoma" w:hAnsi="Tahoma" w:cs="Tahoma"/>
          <w:sz w:val="24"/>
          <w:lang w:val="sr-Latn-ME"/>
        </w:rPr>
        <w:t xml:space="preserve"> prava što stvara nezadovoljstvo kod podnosioca zahtjeva kome su zagarantovana prava u svim postupcima a koja su bliže određena Zakonikom o krivičnom postupku, Zakonom o parničnom postupku, Zakonom o upravnom postupku, Zakonom o izvršenju i obezbjeđenju i drugim vanparičnim Zakonima. Stranke moraju biti na samom početku informisane da suština Zakona o slobodnom pristupu informacijama nije utvrđivanje zakonitog/nezakonitog postupanja prvostepenih organa te povreda procedura</w:t>
      </w:r>
      <w:r w:rsidR="00D44A3B">
        <w:rPr>
          <w:rFonts w:ascii="Tahoma" w:hAnsi="Tahoma" w:cs="Tahoma"/>
          <w:sz w:val="24"/>
          <w:lang w:val="sr-Latn-ME"/>
        </w:rPr>
        <w:t>,</w:t>
      </w:r>
      <w:r w:rsidRPr="00CD4601">
        <w:rPr>
          <w:rFonts w:ascii="Tahoma" w:hAnsi="Tahoma" w:cs="Tahoma"/>
          <w:sz w:val="24"/>
          <w:lang w:val="sr-Latn-ME"/>
        </w:rPr>
        <w:t xml:space="preserve"> već dolaženje u posjed dokumenta.</w:t>
      </w:r>
    </w:p>
    <w:p w:rsidR="00435291" w:rsidRPr="00CD4601" w:rsidRDefault="00435291" w:rsidP="00CD4601">
      <w:pPr>
        <w:ind w:firstLine="720"/>
        <w:jc w:val="both"/>
        <w:rPr>
          <w:rFonts w:ascii="Tahoma" w:hAnsi="Tahoma" w:cs="Tahoma"/>
          <w:sz w:val="24"/>
          <w:lang w:val="sr-Latn-ME"/>
        </w:rPr>
      </w:pPr>
      <w:r w:rsidRPr="00CD4601">
        <w:rPr>
          <w:rFonts w:ascii="Tahoma" w:hAnsi="Tahoma" w:cs="Tahoma"/>
          <w:sz w:val="24"/>
          <w:lang w:val="sr-Latn-ME"/>
        </w:rPr>
        <w:t>Ocjena zakonitosti postupanja prvostepenih organa je nadležnost državnih organa i institucija koji su garant sigurnosti u savremenom demokratskom društvu.</w:t>
      </w:r>
    </w:p>
    <w:p w:rsidR="00435291" w:rsidRPr="00CD4601" w:rsidRDefault="00435291" w:rsidP="00CD4601">
      <w:pPr>
        <w:ind w:firstLine="720"/>
        <w:jc w:val="both"/>
        <w:rPr>
          <w:rFonts w:ascii="Tahoma" w:hAnsi="Tahoma" w:cs="Tahoma"/>
          <w:sz w:val="24"/>
          <w:lang w:val="sr-Latn-ME"/>
        </w:rPr>
      </w:pPr>
      <w:r w:rsidRPr="00CD4601">
        <w:rPr>
          <w:rFonts w:ascii="Tahoma" w:hAnsi="Tahoma" w:cs="Tahoma"/>
          <w:sz w:val="24"/>
          <w:lang w:val="sr-Latn-ME"/>
        </w:rPr>
        <w:t xml:space="preserve">Savjet Agencije prilikom odlučivanja uočio je da advokat koji </w:t>
      </w:r>
      <w:r w:rsidR="00D943CB">
        <w:rPr>
          <w:rFonts w:ascii="Tahoma" w:hAnsi="Tahoma" w:cs="Tahoma"/>
          <w:sz w:val="24"/>
          <w:lang w:val="sr-Latn-ME"/>
        </w:rPr>
        <w:t>zastupa preko 15 stranaka podnoše</w:t>
      </w:r>
      <w:r w:rsidR="00D44A3B">
        <w:rPr>
          <w:rFonts w:ascii="Tahoma" w:hAnsi="Tahoma" w:cs="Tahoma"/>
          <w:sz w:val="24"/>
          <w:lang w:val="sr-Latn-ME"/>
        </w:rPr>
        <w:t>njem na nedeljnom niovu velikog</w:t>
      </w:r>
      <w:r w:rsidRPr="00CD4601">
        <w:rPr>
          <w:rFonts w:ascii="Tahoma" w:hAnsi="Tahoma" w:cs="Tahoma"/>
          <w:sz w:val="24"/>
          <w:lang w:val="sr-Latn-ME"/>
        </w:rPr>
        <w:t xml:space="preserve"> broj</w:t>
      </w:r>
      <w:r w:rsidR="00D44A3B">
        <w:rPr>
          <w:rFonts w:ascii="Tahoma" w:hAnsi="Tahoma" w:cs="Tahoma"/>
          <w:sz w:val="24"/>
          <w:lang w:val="sr-Latn-ME"/>
        </w:rPr>
        <w:t>a</w:t>
      </w:r>
      <w:r w:rsidRPr="00CD4601">
        <w:rPr>
          <w:rFonts w:ascii="Tahoma" w:hAnsi="Tahoma" w:cs="Tahoma"/>
          <w:sz w:val="24"/>
          <w:lang w:val="sr-Latn-ME"/>
        </w:rPr>
        <w:t xml:space="preserve"> zahtjeva za slobodan pristup informacijama vrši zloupotrebu na način da prvostepeni organi nijesu u mogućnosti blagovremeno donijeti odluke u predmetima, što u konačnom nakon okončanja upravnog spora pred Upravnim sudom Crne Go</w:t>
      </w:r>
      <w:r w:rsidR="00A318EB">
        <w:rPr>
          <w:rFonts w:ascii="Tahoma" w:hAnsi="Tahoma" w:cs="Tahoma"/>
          <w:sz w:val="24"/>
          <w:lang w:val="sr-Latn-ME"/>
        </w:rPr>
        <w:t>re efektira naplatom troškova u</w:t>
      </w:r>
      <w:r w:rsidRPr="00CD4601">
        <w:rPr>
          <w:rFonts w:ascii="Tahoma" w:hAnsi="Tahoma" w:cs="Tahoma"/>
          <w:sz w:val="24"/>
          <w:lang w:val="sr-Latn-ME"/>
        </w:rPr>
        <w:t xml:space="preserve">pravog spora. </w:t>
      </w:r>
    </w:p>
    <w:p w:rsidR="001B6898" w:rsidRDefault="006F5B08" w:rsidP="00CD4601">
      <w:pPr>
        <w:ind w:firstLine="720"/>
        <w:jc w:val="both"/>
        <w:rPr>
          <w:rFonts w:ascii="Tahoma" w:hAnsi="Tahoma" w:cs="Tahoma"/>
          <w:sz w:val="24"/>
          <w:lang w:val="sr-Latn-ME"/>
        </w:rPr>
      </w:pPr>
      <w:r>
        <w:rPr>
          <w:rFonts w:ascii="Tahoma" w:hAnsi="Tahoma" w:cs="Tahoma"/>
          <w:sz w:val="24"/>
          <w:lang w:val="sr-Latn-ME"/>
        </w:rPr>
        <w:t>Svrha tražene informacije</w:t>
      </w:r>
      <w:r w:rsidR="00435291" w:rsidRPr="00CD4601">
        <w:rPr>
          <w:rFonts w:ascii="Tahoma" w:hAnsi="Tahoma" w:cs="Tahoma"/>
          <w:sz w:val="24"/>
          <w:lang w:val="sr-Latn-ME"/>
        </w:rPr>
        <w:t xml:space="preserve"> nije sama sebi smisao i cilj</w:t>
      </w:r>
      <w:r w:rsidR="00040A51">
        <w:rPr>
          <w:rFonts w:ascii="Tahoma" w:hAnsi="Tahoma" w:cs="Tahoma"/>
          <w:sz w:val="24"/>
          <w:lang w:val="sr-Latn-ME"/>
        </w:rPr>
        <w:t>,</w:t>
      </w:r>
      <w:r w:rsidR="00435291" w:rsidRPr="00CD4601">
        <w:rPr>
          <w:rFonts w:ascii="Tahoma" w:hAnsi="Tahoma" w:cs="Tahoma"/>
          <w:sz w:val="24"/>
          <w:lang w:val="sr-Latn-ME"/>
        </w:rPr>
        <w:t xml:space="preserve"> već naplata troškova angažovanja advokata koji na osnovu advokatskog uvećanja često doseže iznose oko 2000 eura po jednom predmetu. Savjet Agencije je u postupcima u kojima je utvrdio osnovanost postojanja zloupotrebe prava na slobodan pristup informacijama podržao pravni stav Ministarstva javne uprave</w:t>
      </w:r>
      <w:r w:rsidR="00DE2CBA">
        <w:rPr>
          <w:rFonts w:ascii="Tahoma" w:hAnsi="Tahoma" w:cs="Tahoma"/>
          <w:sz w:val="24"/>
          <w:lang w:val="sr-Latn-ME"/>
        </w:rPr>
        <w:t xml:space="preserve"> koje je utvrdilo</w:t>
      </w:r>
      <w:r w:rsidR="00B37A9D">
        <w:rPr>
          <w:rFonts w:ascii="Tahoma" w:hAnsi="Tahoma" w:cs="Tahoma"/>
          <w:sz w:val="24"/>
          <w:lang w:val="sr-Latn-ME"/>
        </w:rPr>
        <w:t xml:space="preserve"> da je podnosilac zahtjeva podnošenjem </w:t>
      </w:r>
      <w:r w:rsidR="00DE2CBA">
        <w:rPr>
          <w:rFonts w:ascii="Tahoma" w:hAnsi="Tahoma" w:cs="Tahoma"/>
          <w:sz w:val="24"/>
          <w:lang w:val="sr-Latn-ME"/>
        </w:rPr>
        <w:t xml:space="preserve">repetitivnih zahtjeva u kratkom vremenskom periodu izvršio zloupotrebu </w:t>
      </w:r>
      <w:r w:rsidR="00DE2CBA">
        <w:rPr>
          <w:rFonts w:ascii="Tahoma" w:hAnsi="Tahoma" w:cs="Tahoma"/>
          <w:sz w:val="24"/>
          <w:lang w:val="sr-Latn-ME"/>
        </w:rPr>
        <w:lastRenderedPageBreak/>
        <w:t>prava na slobodan pristup informacijama</w:t>
      </w:r>
      <w:r w:rsidR="00FD004A">
        <w:rPr>
          <w:rFonts w:ascii="Tahoma" w:hAnsi="Tahoma" w:cs="Tahoma"/>
          <w:sz w:val="24"/>
          <w:lang w:val="sr-Latn-ME"/>
        </w:rPr>
        <w:t>,</w:t>
      </w:r>
      <w:r w:rsidR="00DE2CBA">
        <w:rPr>
          <w:rFonts w:ascii="Tahoma" w:hAnsi="Tahoma" w:cs="Tahoma"/>
          <w:sz w:val="24"/>
          <w:lang w:val="sr-Latn-ME"/>
        </w:rPr>
        <w:t xml:space="preserve"> </w:t>
      </w:r>
      <w:r w:rsidR="001B6898">
        <w:rPr>
          <w:rFonts w:ascii="Tahoma" w:hAnsi="Tahoma" w:cs="Tahoma"/>
          <w:sz w:val="24"/>
          <w:lang w:val="sr-Latn-ME"/>
        </w:rPr>
        <w:t>te se u narednom periodu očekuje</w:t>
      </w:r>
      <w:r w:rsidR="00435291" w:rsidRPr="00CD4601">
        <w:rPr>
          <w:rFonts w:ascii="Tahoma" w:hAnsi="Tahoma" w:cs="Tahoma"/>
          <w:sz w:val="24"/>
          <w:lang w:val="sr-Latn-ME"/>
        </w:rPr>
        <w:t xml:space="preserve"> sudski epilog</w:t>
      </w:r>
      <w:r w:rsidR="001A007A">
        <w:rPr>
          <w:rFonts w:ascii="Tahoma" w:hAnsi="Tahoma" w:cs="Tahoma"/>
          <w:sz w:val="24"/>
          <w:lang w:val="sr-Latn-ME"/>
        </w:rPr>
        <w:t xml:space="preserve"> u konkretnoj upravnoj stvari</w:t>
      </w:r>
      <w:r w:rsidR="00435291" w:rsidRPr="00CD4601">
        <w:rPr>
          <w:rFonts w:ascii="Tahoma" w:hAnsi="Tahoma" w:cs="Tahoma"/>
          <w:sz w:val="24"/>
          <w:lang w:val="sr-Latn-ME"/>
        </w:rPr>
        <w:t xml:space="preserve">. </w:t>
      </w:r>
    </w:p>
    <w:p w:rsidR="00435291" w:rsidRPr="00CD4601" w:rsidRDefault="00435291" w:rsidP="00CD4601">
      <w:pPr>
        <w:ind w:firstLine="720"/>
        <w:jc w:val="both"/>
        <w:rPr>
          <w:rFonts w:ascii="Tahoma" w:hAnsi="Tahoma" w:cs="Tahoma"/>
          <w:sz w:val="24"/>
          <w:lang w:val="sr-Latn-ME"/>
        </w:rPr>
      </w:pPr>
      <w:r w:rsidRPr="00CD4601">
        <w:rPr>
          <w:rFonts w:ascii="Tahoma" w:hAnsi="Tahoma" w:cs="Tahoma"/>
          <w:sz w:val="24"/>
          <w:lang w:val="sr-Latn-ME"/>
        </w:rPr>
        <w:t>Zloupotrebu prava na slobodan pristup informacijama treba</w:t>
      </w:r>
      <w:r w:rsidR="00FD004A">
        <w:rPr>
          <w:rFonts w:ascii="Tahoma" w:hAnsi="Tahoma" w:cs="Tahoma"/>
          <w:sz w:val="24"/>
          <w:lang w:val="sr-Latn-ME"/>
        </w:rPr>
        <w:t xml:space="preserve"> biti demarkaciona linija izmeđ</w:t>
      </w:r>
      <w:r w:rsidRPr="00CD4601">
        <w:rPr>
          <w:rFonts w:ascii="Tahoma" w:hAnsi="Tahoma" w:cs="Tahoma"/>
          <w:sz w:val="24"/>
          <w:lang w:val="sr-Latn-ME"/>
        </w:rPr>
        <w:t>u prava javnosti da zna u odnosu na pravo  pojedinaca ili organizacija da dobiju sredstva kroz naplatu troškova upravnog spora čiji iznosi nijesu zanemarujući. Sredstva opred</w:t>
      </w:r>
      <w:r w:rsidR="00F96E6F">
        <w:rPr>
          <w:rFonts w:ascii="Tahoma" w:hAnsi="Tahoma" w:cs="Tahoma"/>
          <w:sz w:val="24"/>
          <w:lang w:val="sr-Latn-ME"/>
        </w:rPr>
        <w:t>ij</w:t>
      </w:r>
      <w:r w:rsidRPr="00CD4601">
        <w:rPr>
          <w:rFonts w:ascii="Tahoma" w:hAnsi="Tahoma" w:cs="Tahoma"/>
          <w:sz w:val="24"/>
          <w:lang w:val="sr-Latn-ME"/>
        </w:rPr>
        <w:t xml:space="preserve">eljena za uplatu troškova mogu naći svoju bolju svrhu u cilju javnog interesa. </w:t>
      </w:r>
    </w:p>
    <w:p w:rsidR="006F7AC5" w:rsidRPr="00CD4601" w:rsidRDefault="00435291" w:rsidP="00CD4601">
      <w:pPr>
        <w:ind w:firstLine="720"/>
        <w:jc w:val="both"/>
        <w:rPr>
          <w:rFonts w:ascii="Tahoma" w:hAnsi="Tahoma" w:cs="Tahoma"/>
          <w:sz w:val="24"/>
          <w:lang w:val="sr-Latn-ME"/>
        </w:rPr>
      </w:pPr>
      <w:r w:rsidRPr="00CD4601">
        <w:rPr>
          <w:rFonts w:ascii="Tahoma" w:hAnsi="Tahoma" w:cs="Tahoma"/>
          <w:sz w:val="24"/>
          <w:lang w:val="sr-Latn-ME"/>
        </w:rPr>
        <w:t>Informacini sistem Agencije registrovao je 1942 obveznika Zakona o slobodnom pristupu informacijama u prvoj polovini 2025.</w:t>
      </w:r>
      <w:r w:rsidR="00F96E6F">
        <w:rPr>
          <w:rFonts w:ascii="Tahoma" w:hAnsi="Tahoma" w:cs="Tahoma"/>
          <w:sz w:val="24"/>
          <w:lang w:val="sr-Latn-ME"/>
        </w:rPr>
        <w:t xml:space="preserve"> </w:t>
      </w:r>
      <w:r w:rsidRPr="00CD4601">
        <w:rPr>
          <w:rFonts w:ascii="Tahoma" w:hAnsi="Tahoma" w:cs="Tahoma"/>
          <w:sz w:val="24"/>
          <w:lang w:val="sr-Latn-ME"/>
        </w:rPr>
        <w:t>godine. Kontrolori su izvršili nadzor kod 49 subjekta nadzora sa ciljem povećanja proaktivnosti u objavljivanju informacija na internet stranicima.</w:t>
      </w:r>
      <w:r w:rsidR="0080426D">
        <w:rPr>
          <w:rFonts w:ascii="Tahoma" w:hAnsi="Tahoma" w:cs="Tahoma"/>
          <w:sz w:val="24"/>
          <w:lang w:val="sr-Latn-ME"/>
        </w:rPr>
        <w:t xml:space="preserve"> </w:t>
      </w:r>
      <w:r w:rsidRPr="00CD4601">
        <w:rPr>
          <w:rFonts w:ascii="Tahoma" w:hAnsi="Tahoma" w:cs="Tahoma"/>
          <w:sz w:val="24"/>
          <w:lang w:val="sr-Latn-ME"/>
        </w:rPr>
        <w:t>Laka pretraživost i dostupnost traženih informacijama je standar</w:t>
      </w:r>
      <w:r w:rsidR="00E76BC3">
        <w:rPr>
          <w:rFonts w:ascii="Tahoma" w:hAnsi="Tahoma" w:cs="Tahoma"/>
          <w:sz w:val="24"/>
          <w:lang w:val="sr-Latn-ME"/>
        </w:rPr>
        <w:t>d</w:t>
      </w:r>
      <w:r w:rsidRPr="00CD4601">
        <w:rPr>
          <w:rFonts w:ascii="Tahoma" w:hAnsi="Tahoma" w:cs="Tahoma"/>
          <w:sz w:val="24"/>
          <w:lang w:val="sr-Latn-ME"/>
        </w:rPr>
        <w:t xml:space="preserve"> na kome zasnivamo inspekcijski nadzor i ukazujemo kako bi korisnici zahtjeva za slobodan pristup informacijama imali informacije koje će u konačnom i opred</w:t>
      </w:r>
      <w:r w:rsidR="00F96E6F">
        <w:rPr>
          <w:rFonts w:ascii="Tahoma" w:hAnsi="Tahoma" w:cs="Tahoma"/>
          <w:sz w:val="24"/>
          <w:lang w:val="sr-Latn-ME"/>
        </w:rPr>
        <w:t>i</w:t>
      </w:r>
      <w:r w:rsidRPr="00CD4601">
        <w:rPr>
          <w:rFonts w:ascii="Tahoma" w:hAnsi="Tahoma" w:cs="Tahoma"/>
          <w:sz w:val="24"/>
          <w:lang w:val="sr-Latn-ME"/>
        </w:rPr>
        <w:t>jeliti da li će se obratiti obvezniku primjene posebno na nivou lokalnih samouprava zbog različitih načina organizacije i nadležnosti.</w:t>
      </w:r>
    </w:p>
    <w:sectPr w:rsidR="006F7AC5" w:rsidRPr="00CD4601" w:rsidSect="00F03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51" w:rsidRDefault="00534151">
      <w:pPr>
        <w:spacing w:after="0" w:line="240" w:lineRule="auto"/>
      </w:pPr>
      <w:r>
        <w:separator/>
      </w:r>
    </w:p>
  </w:endnote>
  <w:endnote w:type="continuationSeparator" w:id="0">
    <w:p w:rsidR="00534151" w:rsidRDefault="0053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53415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E62A90" w:rsidRDefault="0053415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B22E14" w:rsidRDefault="00683AC0" w:rsidP="00B22E14">
    <w:pPr>
      <w:shd w:val="clear" w:color="auto" w:fill="FFFFFF"/>
      <w:jc w:val="center"/>
      <w:rPr>
        <w:rFonts w:eastAsia="Times New Roman" w:cs="Arial"/>
        <w:color w:val="333333"/>
        <w:sz w:val="16"/>
        <w:szCs w:val="16"/>
      </w:rPr>
    </w:pPr>
    <w:r>
      <w:rPr>
        <w:b/>
        <w:sz w:val="16"/>
        <w:szCs w:val="16"/>
      </w:rPr>
      <w:t>AGENCIJA ZA ZAŠTITU LIČNIH PODATAKA I SLOBODAN PRISTUP INFORMACIJAMA</w:t>
    </w:r>
    <w:r>
      <w:rPr>
        <w:sz w:val="16"/>
        <w:szCs w:val="16"/>
      </w:rPr>
      <w:t xml:space="preserve">, </w:t>
    </w:r>
    <w:proofErr w:type="spellStart"/>
    <w:r>
      <w:rPr>
        <w:b/>
        <w:sz w:val="16"/>
        <w:szCs w:val="16"/>
      </w:rPr>
      <w:t>adresa</w:t>
    </w:r>
    <w:proofErr w:type="spellEnd"/>
    <w:r>
      <w:rPr>
        <w:b/>
        <w:sz w:val="16"/>
        <w:szCs w:val="16"/>
      </w:rPr>
      <w:t xml:space="preserve">: </w:t>
    </w:r>
    <w:proofErr w:type="spellStart"/>
    <w:r>
      <w:rPr>
        <w:rFonts w:eastAsia="Times New Roman" w:cs="Tahoma"/>
        <w:b/>
        <w:bCs/>
        <w:color w:val="000000"/>
        <w:sz w:val="16"/>
        <w:szCs w:val="16"/>
      </w:rPr>
      <w:t>Bulevar</w:t>
    </w:r>
    <w:proofErr w:type="spellEnd"/>
    <w:r>
      <w:rPr>
        <w:rFonts w:eastAsia="Times New Roman" w:cs="Tahoma"/>
        <w:b/>
        <w:bCs/>
        <w:color w:val="000000"/>
        <w:sz w:val="16"/>
        <w:szCs w:val="16"/>
      </w:rPr>
      <w:t xml:space="preserve"> </w:t>
    </w:r>
    <w:proofErr w:type="spellStart"/>
    <w:r>
      <w:rPr>
        <w:rFonts w:eastAsia="Times New Roman" w:cs="Tahoma"/>
        <w:b/>
        <w:bCs/>
        <w:color w:val="000000"/>
        <w:sz w:val="16"/>
        <w:szCs w:val="16"/>
      </w:rPr>
      <w:t>Revolucije</w:t>
    </w:r>
    <w:proofErr w:type="spellEnd"/>
    <w:r>
      <w:rPr>
        <w:rFonts w:eastAsia="Times New Roman" w:cs="Tahoma"/>
        <w:b/>
        <w:bCs/>
        <w:color w:val="000000"/>
        <w:sz w:val="16"/>
        <w:szCs w:val="16"/>
      </w:rPr>
      <w:t xml:space="preserve"> br. 11</w:t>
    </w:r>
  </w:p>
  <w:p w:rsidR="00B22E14" w:rsidRDefault="00683AC0" w:rsidP="00B22E14">
    <w:pPr>
      <w:pStyle w:val="Footer"/>
      <w:jc w:val="center"/>
      <w:rPr>
        <w:sz w:val="16"/>
        <w:szCs w:val="16"/>
      </w:rPr>
    </w:pP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/fax: +383 020 634 883 (</w:t>
    </w:r>
    <w:proofErr w:type="spellStart"/>
    <w:r>
      <w:rPr>
        <w:sz w:val="16"/>
        <w:szCs w:val="16"/>
      </w:rPr>
      <w:t>Savjet</w:t>
    </w:r>
    <w:proofErr w:type="spellEnd"/>
    <w:r>
      <w:rPr>
        <w:sz w:val="16"/>
        <w:szCs w:val="16"/>
      </w:rPr>
      <w:t>), +383 020 634 884 (</w:t>
    </w:r>
    <w:proofErr w:type="spellStart"/>
    <w:r>
      <w:rPr>
        <w:sz w:val="16"/>
        <w:szCs w:val="16"/>
      </w:rPr>
      <w:t>direktor</w:t>
    </w:r>
    <w:proofErr w:type="spellEnd"/>
    <w:r>
      <w:rPr>
        <w:sz w:val="16"/>
        <w:szCs w:val="16"/>
      </w:rPr>
      <w:t xml:space="preserve">), e-mail: </w:t>
    </w:r>
    <w:hyperlink r:id="rId1" w:history="1">
      <w:r>
        <w:rPr>
          <w:rStyle w:val="Hyperlink1"/>
          <w:sz w:val="16"/>
          <w:szCs w:val="16"/>
        </w:rPr>
        <w:t>azlp@t-com.me</w:t>
      </w:r>
    </w:hyperlink>
    <w:r>
      <w:rPr>
        <w:sz w:val="16"/>
        <w:szCs w:val="16"/>
      </w:rPr>
      <w:t xml:space="preserve">, web site: </w:t>
    </w:r>
    <w:hyperlink r:id="rId2" w:history="1">
      <w:r>
        <w:rPr>
          <w:rStyle w:val="Hyperlink1"/>
          <w:sz w:val="16"/>
          <w:szCs w:val="16"/>
        </w:rPr>
        <w:t>www.azlp.me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534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51" w:rsidRDefault="00534151">
      <w:pPr>
        <w:spacing w:after="0" w:line="240" w:lineRule="auto"/>
      </w:pPr>
      <w:r>
        <w:separator/>
      </w:r>
    </w:p>
  </w:footnote>
  <w:footnote w:type="continuationSeparator" w:id="0">
    <w:p w:rsidR="00534151" w:rsidRDefault="0053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534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534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534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E2"/>
    <w:rsid w:val="0000457D"/>
    <w:rsid w:val="00040A51"/>
    <w:rsid w:val="001A007A"/>
    <w:rsid w:val="001B6898"/>
    <w:rsid w:val="001D3250"/>
    <w:rsid w:val="002120E2"/>
    <w:rsid w:val="00214273"/>
    <w:rsid w:val="002149B6"/>
    <w:rsid w:val="002F3F92"/>
    <w:rsid w:val="00391C06"/>
    <w:rsid w:val="00413259"/>
    <w:rsid w:val="00435291"/>
    <w:rsid w:val="00490210"/>
    <w:rsid w:val="00497548"/>
    <w:rsid w:val="004F1A72"/>
    <w:rsid w:val="00534151"/>
    <w:rsid w:val="0055673F"/>
    <w:rsid w:val="00574C2A"/>
    <w:rsid w:val="005C4C13"/>
    <w:rsid w:val="0061415C"/>
    <w:rsid w:val="006426FA"/>
    <w:rsid w:val="00652121"/>
    <w:rsid w:val="006537D0"/>
    <w:rsid w:val="00676C04"/>
    <w:rsid w:val="00683AC0"/>
    <w:rsid w:val="006C14D2"/>
    <w:rsid w:val="006F5B08"/>
    <w:rsid w:val="006F7AC5"/>
    <w:rsid w:val="007272F1"/>
    <w:rsid w:val="0076623D"/>
    <w:rsid w:val="00767123"/>
    <w:rsid w:val="007809D2"/>
    <w:rsid w:val="0079133E"/>
    <w:rsid w:val="007F0A67"/>
    <w:rsid w:val="0080426D"/>
    <w:rsid w:val="008647AC"/>
    <w:rsid w:val="008A19F7"/>
    <w:rsid w:val="00961317"/>
    <w:rsid w:val="00A318EB"/>
    <w:rsid w:val="00AE0679"/>
    <w:rsid w:val="00B02725"/>
    <w:rsid w:val="00B37A9D"/>
    <w:rsid w:val="00B42AD9"/>
    <w:rsid w:val="00B518E7"/>
    <w:rsid w:val="00BD128C"/>
    <w:rsid w:val="00BF69AE"/>
    <w:rsid w:val="00BF6E28"/>
    <w:rsid w:val="00C55760"/>
    <w:rsid w:val="00CD4601"/>
    <w:rsid w:val="00D44A3B"/>
    <w:rsid w:val="00D943CB"/>
    <w:rsid w:val="00DB3562"/>
    <w:rsid w:val="00DE2616"/>
    <w:rsid w:val="00DE2CBA"/>
    <w:rsid w:val="00DF5F4F"/>
    <w:rsid w:val="00E52923"/>
    <w:rsid w:val="00E734D7"/>
    <w:rsid w:val="00E76BC3"/>
    <w:rsid w:val="00E83B0F"/>
    <w:rsid w:val="00E910FF"/>
    <w:rsid w:val="00EC0FC9"/>
    <w:rsid w:val="00EC51FF"/>
    <w:rsid w:val="00ED78B7"/>
    <w:rsid w:val="00EF6A16"/>
    <w:rsid w:val="00F0680B"/>
    <w:rsid w:val="00F96E6F"/>
    <w:rsid w:val="00FD004A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038BF-6F0C-42E6-AB99-8943F197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C2A"/>
  </w:style>
  <w:style w:type="paragraph" w:styleId="Footer">
    <w:name w:val="footer"/>
    <w:basedOn w:val="Normal"/>
    <w:link w:val="FooterChar"/>
    <w:uiPriority w:val="99"/>
    <w:unhideWhenUsed/>
    <w:rsid w:val="00574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C2A"/>
  </w:style>
  <w:style w:type="character" w:customStyle="1" w:styleId="Hyperlink1">
    <w:name w:val="Hyperlink1"/>
    <w:basedOn w:val="DefaultParagraphFont"/>
    <w:uiPriority w:val="99"/>
    <w:unhideWhenUsed/>
    <w:rsid w:val="00574C2A"/>
    <w:rPr>
      <w:color w:val="0000FF"/>
      <w:u w:val="single"/>
    </w:rPr>
  </w:style>
  <w:style w:type="table" w:styleId="TableGrid">
    <w:name w:val="Table Grid"/>
    <w:basedOn w:val="TableNormal"/>
    <w:uiPriority w:val="59"/>
    <w:rsid w:val="00574C2A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4C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D4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Bošković</dc:creator>
  <cp:keywords/>
  <dc:description/>
  <cp:lastModifiedBy>Nenad Durković</cp:lastModifiedBy>
  <cp:revision>2</cp:revision>
  <cp:lastPrinted>2025-07-24T08:56:00Z</cp:lastPrinted>
  <dcterms:created xsi:type="dcterms:W3CDTF">2025-08-01T12:49:00Z</dcterms:created>
  <dcterms:modified xsi:type="dcterms:W3CDTF">2025-08-01T12:49:00Z</dcterms:modified>
</cp:coreProperties>
</file>